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2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t xml:space="preserve">Demografski trendovi i struktura stanovništva Tutina kroz različite popisne godine</w:t>
      </w:r>
      <w:r>
        <w:rPr>
          <w:b/>
          <w:bCs/>
          <w:sz w:val="32"/>
          <w:szCs w:val="32"/>
          <w:highlight w:val="none"/>
        </w:rPr>
      </w:r>
      <w:r/>
    </w:p>
    <w:p>
      <w:r>
        <w:rPr>
          <w:b/>
          <w:bCs/>
        </w:rPr>
        <w:t xml:space="preserve">Originalni podaci: </w:t>
      </w:r>
      <w:r>
        <w:rPr>
          <w:b/>
          <w:bCs/>
          <w:highlight w:val="none"/>
        </w:rPr>
      </w:r>
      <w:r/>
    </w:p>
    <w:p>
      <w:pPr>
        <w:jc w:val="both"/>
      </w:pPr>
      <w:r>
        <w:rPr>
          <w:highlight w:val="none"/>
        </w:rPr>
        <w:t xml:space="preserve">Komentar demog</w:t>
      </w:r>
      <w:r>
        <w:rPr>
          <w:highlight w:val="none"/>
        </w:rPr>
        <w:t xml:space="preserve">rafskih trendova i strukture stanovništva se bazira na originalnim podacima preuzetim iz baze Republičkog zavoda za statistiku. Podaci se odnose na ukuban broj stanovnika i na starosnu strukturu stanovnika zabeleženu u popisima za koje su podaci dostupni:</w:t>
      </w:r>
      <w:r>
        <w:rPr>
          <w:highlight w:val="none"/>
        </w:rPr>
      </w:r>
      <w:r/>
    </w:p>
    <w:tbl>
      <w:tblPr>
        <w:tblStyle w:val="734"/>
        <w:tblW w:w="0" w:type="auto"/>
        <w:jc w:val="center"/>
        <w:tblInd w:w="-9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7"/>
        <w:gridCol w:w="6503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Tutin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Broj stanovnika</w:t>
            </w:r>
            <w:r>
              <w:rPr>
                <w:rFonts w:ascii="Asana" w:hAnsi="Asana" w:cs="Asana"/>
                <w:b w:val="0"/>
                <w:bCs w:val="0"/>
                <w:i w:val="0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0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suppressLineNumbers w:val="0"/>
            </w:pPr>
            <w:r>
              <w:rPr>
                <w:rFonts w:ascii="Asana" w:hAnsi="Asana" w:eastAsia="Arial Narrow" w:cs="Asana"/>
                <w:i/>
                <w:iCs/>
                <w:color w:val="000000"/>
                <w:sz w:val="22"/>
                <w:szCs w:val="22"/>
              </w:rPr>
            </w:r>
            <w:r>
              <w:drawing>
                <wp:inline distT="0" distB="0" distL="0" distR="0">
                  <wp:extent cx="3953445" cy="2213370"/>
                  <wp:effectExtent l="4762" t="4762" r="4762" b="4762"/>
                  <wp:docPr id="3" name="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>
              <w:rPr>
                <w:rFonts w:ascii="Asana" w:hAnsi="Asana" w:cs="Asana"/>
                <w:bCs/>
                <w:i/>
                <w:color w:val="000000"/>
                <w:sz w:val="22"/>
                <w:szCs w:val="22"/>
              </w:rPr>
            </w:r>
            <w:r/>
          </w:p>
          <w:p>
            <w:pPr>
              <w:rPr>
                <w:rFonts w:ascii="Asana" w:hAnsi="Asana" w:cs="Asana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sana" w:hAnsi="Asana" w:cs="Asana"/>
                <w:bCs/>
                <w:i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sz w:val="22"/>
                <w:szCs w:val="22"/>
              </w:rPr>
            </w:pPr>
            <w:r>
              <w:rPr>
                <w:rFonts w:ascii="Asana" w:hAnsi="Asana" w:cs="Asana"/>
                <w:sz w:val="22"/>
                <w:szCs w:val="22"/>
              </w:rPr>
              <w:t xml:space="preserve">24662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sz w:val="22"/>
                <w:szCs w:val="22"/>
              </w:rPr>
            </w:pPr>
            <w:r>
              <w:rPr>
                <w:rFonts w:ascii="Asana" w:hAnsi="Asana" w:cs="Asana"/>
                <w:sz w:val="22"/>
                <w:szCs w:val="22"/>
              </w:rPr>
              <w:t xml:space="preserve">27963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sz w:val="22"/>
                <w:szCs w:val="22"/>
              </w:rPr>
            </w:pPr>
            <w:r>
              <w:rPr>
                <w:rFonts w:ascii="Asana" w:hAnsi="Asana" w:cs="Asana"/>
                <w:sz w:val="22"/>
                <w:szCs w:val="22"/>
              </w:rPr>
              <w:t xml:space="preserve">29959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sz w:val="22"/>
                <w:szCs w:val="22"/>
              </w:rPr>
            </w:pPr>
            <w:r>
              <w:rPr>
                <w:rFonts w:ascii="Asana" w:hAnsi="Asana" w:cs="Asana"/>
                <w:sz w:val="22"/>
                <w:szCs w:val="22"/>
              </w:rPr>
              <w:t xml:space="preserve">29444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sz w:val="22"/>
                <w:szCs w:val="22"/>
              </w:rPr>
            </w:pPr>
            <w:r>
              <w:rPr>
                <w:rFonts w:ascii="Asana" w:hAnsi="Asana" w:cs="Asana"/>
                <w:sz w:val="22"/>
                <w:szCs w:val="22"/>
              </w:rPr>
              <w:t xml:space="preserve">32779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sz w:val="22"/>
                <w:szCs w:val="22"/>
              </w:rPr>
            </w:pPr>
            <w:r>
              <w:rPr>
                <w:rFonts w:ascii="Asana" w:hAnsi="Asana" w:cs="Asana"/>
                <w:sz w:val="22"/>
                <w:szCs w:val="22"/>
              </w:rPr>
              <w:t xml:space="preserve">34631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/>
                <w:bCs/>
              </w:rPr>
              <w:suppressLineNumbers w:val="0"/>
            </w:pPr>
            <w:r>
              <w:rPr>
                <w:rFonts w:ascii="Asana" w:hAnsi="Asana" w:eastAsia="Calibri" w:cs="Asana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g.2002</w:t>
            </w: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/>
                <w:bCs/>
                <w:sz w:val="22"/>
                <w:szCs w:val="22"/>
              </w:rPr>
            </w:pPr>
            <w:r>
              <w:rPr>
                <w:rFonts w:ascii="Asana" w:hAnsi="Asana" w:cs="Asana"/>
                <w:b/>
                <w:bCs/>
                <w:sz w:val="22"/>
                <w:szCs w:val="22"/>
              </w:rPr>
              <w:t xml:space="preserve">36160</w:t>
            </w:r>
            <w:r>
              <w:rPr>
                <w:b/>
                <w:bCs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Cs w:val="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sz w:val="22"/>
                <w:szCs w:val="22"/>
              </w:rPr>
            </w:pPr>
            <w:r>
              <w:rPr>
                <w:rFonts w:ascii="Asana" w:hAnsi="Asana" w:cs="Asana"/>
                <w:sz w:val="22"/>
                <w:szCs w:val="22"/>
              </w:rPr>
              <w:t xml:space="preserve">31155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eastAsia="Calibri" w:cs="Asana"/>
                <w:bCs w:val="0"/>
                <w:color w:val="000000"/>
                <w:highlight w:val="none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g.2022</w:t>
            </w:r>
            <w:r>
              <w:rPr>
                <w:rFonts w:ascii="Asana" w:hAnsi="Asana" w:eastAsia="Calibri" w:cs="Asana"/>
                <w:b w:val="0"/>
                <w:bCs w:val="0"/>
                <w:i w:val="0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sz w:val="22"/>
                <w:szCs w:val="22"/>
              </w:rPr>
            </w:pPr>
            <w:r>
              <w:rPr>
                <w:rFonts w:ascii="Asana" w:hAnsi="Asana" w:cs="Asana"/>
                <w:sz w:val="22"/>
                <w:szCs w:val="22"/>
              </w:rPr>
              <w:t xml:space="preserve">33053</w:t>
            </w:r>
            <w:r>
              <w:rPr>
                <w:rFonts w:ascii="Asana" w:hAnsi="Asana" w:cs="Asana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eastAsia="Calibri" w:cs="Asana"/>
                <w:color w:val="000000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eastAsia="Arial Narrow" w:cs="Asana"/>
                <w:color w:val="000000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Tabela 1. – Ukupan broj stanovnika po popisima</w:t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  <w:t xml:space="preserve">Drugi set podataka koji se koristi su podaci o starosnoj strukturi stanovnika po popisima:</w:t>
      </w:r>
      <w:r>
        <w:rPr>
          <w:highlight w:val="none"/>
        </w:rPr>
      </w:r>
      <w:r/>
    </w:p>
    <w:tbl>
      <w:tblPr>
        <w:tblStyle w:val="7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638"/>
        <w:gridCol w:w="638"/>
        <w:gridCol w:w="638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Tutin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0-4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5-9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10-14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15-19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20-24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25-29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30-34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35-39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40-44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45-49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50-54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55-59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60-64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65-69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70-74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75-79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80-84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85-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ukupno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g.1948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24662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g.1953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27963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g.1961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29959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g.1971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29444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g.1981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4310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4361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4045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3672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3059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2450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1894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1387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1505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1435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1250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860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700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867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800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32779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g.1991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3899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3822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3947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3947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3466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2747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2306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2061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1606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1244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1335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1282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1021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726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427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390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34631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g.2002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2623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2605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3018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3207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2734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2492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2064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1818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1717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1666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1356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1130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1017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996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714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377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301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36160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g.2011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2833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2944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2418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2449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2591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2577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2373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2264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1941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1779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1660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1598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1195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851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743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559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102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31155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g.2022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2679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2445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2645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2787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2366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2125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2352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2311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2228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2227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2079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1774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1590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1393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972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584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337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159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8"/>
                <w:szCs w:val="18"/>
              </w:rPr>
              <w:t xml:space="preserve">33053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85"/>
        </w:trPr>
        <w:tc>
          <w:tcPr>
            <w:gridSpan w:val="2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sana" w:hAnsi="Asana" w:cs="Asana"/>
                <w:b w:val="0"/>
                <w:bCs/>
                <w:i w:val="0"/>
                <w:color w:val="000000"/>
                <w:sz w:val="18"/>
                <w:szCs w:val="18"/>
              </w:rPr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 xml:space="preserve">Tabela 2. – Starosna struktura stanovnika zabeležena u popisima</w:t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  <w:t xml:space="preserve">Na osnovu ove tabele može se kreirati grafik koji pokazuje kretanje pojedinih starosnih grupa kroz popise za koje postoje javno dostupni podaci: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drawing>
          <wp:inline distT="0" distB="0" distL="0" distR="0">
            <wp:extent cx="4857749" cy="2995612"/>
            <wp:effectExtent l="4762" t="4762" r="4762" b="4762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highlight w:val="none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pokazuju zanimljive demografske trendove u opštini Tutin tokom poslednjih decenija. Analiza je fokusirana na promene ukupnog broja stanovnika, starosne strukture i faktore koji mogu uticati na ove promene.</w:t>
      </w:r>
      <w:r/>
    </w:p>
    <w:p>
      <w:pPr>
        <w:pStyle w:val="70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Ukupan broj stanovnika kroz godine:</w:t>
      </w:r>
      <w:r/>
    </w:p>
    <w:p>
      <w:pPr>
        <w:pStyle w:val="882"/>
        <w:numPr>
          <w:ilvl w:val="0"/>
          <w:numId w:val="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Stalan porast (1948–1991):</w:t>
      </w:r>
      <w:r/>
    </w:p>
    <w:p>
      <w:pPr>
        <w:pStyle w:val="882"/>
        <w:numPr>
          <w:ilvl w:val="0"/>
          <w:numId w:val="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raste od 24.662 u 1948. do 34.631 u 1991. godini. Ovo je rezultat visokog nataliteta i mladog stanovništva u tom periodu.</w:t>
      </w:r>
      <w:r/>
    </w:p>
    <w:p>
      <w:pPr>
        <w:pStyle w:val="882"/>
        <w:numPr>
          <w:ilvl w:val="0"/>
          <w:numId w:val="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Blaga stagnacija i pad (1991–2022):</w:t>
      </w:r>
      <w:r/>
    </w:p>
    <w:p>
      <w:pPr>
        <w:pStyle w:val="882"/>
        <w:numPr>
          <w:ilvl w:val="0"/>
          <w:numId w:val="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1991. do 2022. ukupan broj stanovnika oscilira između 31.155 i 36.160. Pad je posebno uočljiv 2011. godine, ali postoji blagi oporavak do 2022. (33.053). Ovo može biti posledica migracija (odlazak u inostranstvo), nižeg nataliteta i starenja stanovništv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a.</w:t>
      </w:r>
      <w:r/>
    </w:p>
    <w:p>
      <w:pPr>
        <w:pStyle w:val="70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Starosna struktura:</w:t>
      </w:r>
      <w:r/>
    </w:p>
    <w:p>
      <w:pPr>
        <w:pStyle w:val="70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Deca i mladi (0–19 godina):</w:t>
      </w:r>
      <w:r/>
    </w:p>
    <w:p>
      <w:pPr>
        <w:pStyle w:val="882"/>
        <w:numPr>
          <w:ilvl w:val="0"/>
          <w:numId w:val="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Pad broja dece:</w:t>
      </w:r>
      <w:r/>
    </w:p>
    <w:p>
      <w:pPr>
        <w:pStyle w:val="882"/>
        <w:numPr>
          <w:ilvl w:val="0"/>
          <w:numId w:val="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Starosne grupe 0–4 i 5–9 beleže konstantno smanjenje. Na primer:</w:t>
      </w:r>
      <w:r/>
    </w:p>
    <w:p>
      <w:pPr>
        <w:pStyle w:val="882"/>
        <w:numPr>
          <w:ilvl w:val="0"/>
          <w:numId w:val="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0–4 godina: 4.310 (1981) → 2.679 (2022).</w:t>
      </w:r>
      <w:r/>
    </w:p>
    <w:p>
      <w:pPr>
        <w:pStyle w:val="882"/>
        <w:numPr>
          <w:ilvl w:val="0"/>
          <w:numId w:val="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5–9 godina: 4.361 (1981) → 2.445 (2022).</w:t>
      </w:r>
      <w:r/>
    </w:p>
    <w:p>
      <w:pPr>
        <w:pStyle w:val="882"/>
        <w:numPr>
          <w:ilvl w:val="0"/>
          <w:numId w:val="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Ovo ukazuje na smanjenje nataliteta u poslednjih nekoliko decenija.</w:t>
      </w:r>
      <w:r/>
    </w:p>
    <w:p>
      <w:pPr>
        <w:pStyle w:val="70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708"/>
        <w:ind w:left="0" w:right="0" w:firstLine="0"/>
        <w:spacing w:before="319" w:after="31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Radno sposobno stanovništvo (20–59 godina):</w:t>
      </w:r>
      <w:r/>
    </w:p>
    <w:p>
      <w:pPr>
        <w:pStyle w:val="882"/>
        <w:numPr>
          <w:ilvl w:val="0"/>
          <w:numId w:val="1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Relativna stabilnost:</w:t>
      </w:r>
      <w:r/>
    </w:p>
    <w:p>
      <w:pPr>
        <w:pStyle w:val="882"/>
        <w:numPr>
          <w:ilvl w:val="0"/>
          <w:numId w:val="1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ljudi u radno sposobnim grupama (20–59 godina) se zadržava na stabilnom nivou. Na primer:</w:t>
      </w:r>
      <w:r/>
    </w:p>
    <w:p>
      <w:pPr>
        <w:pStyle w:val="882"/>
        <w:numPr>
          <w:ilvl w:val="0"/>
          <w:numId w:val="1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14.602</w:t>
      </w:r>
      <w:r/>
    </w:p>
    <w:p>
      <w:pPr>
        <w:pStyle w:val="882"/>
        <w:numPr>
          <w:ilvl w:val="0"/>
          <w:numId w:val="1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15.073</w:t>
      </w:r>
      <w:r/>
    </w:p>
    <w:p>
      <w:pPr>
        <w:pStyle w:val="882"/>
        <w:numPr>
          <w:ilvl w:val="0"/>
          <w:numId w:val="1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Ovo sugeriše da radno sposobni i dalje čine najveći deo populacije, ali se broj mlađih generacija smanjuje.</w:t>
      </w:r>
      <w:r/>
    </w:p>
    <w:p>
      <w:pPr>
        <w:pStyle w:val="70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Starije stanovništvo (60+ godina):</w:t>
      </w:r>
      <w:r/>
    </w:p>
    <w:p>
      <w:pPr>
        <w:pStyle w:val="882"/>
        <w:numPr>
          <w:ilvl w:val="0"/>
          <w:numId w:val="1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Rast starijih grupa:</w:t>
      </w:r>
      <w:r/>
    </w:p>
    <w:p>
      <w:pPr>
        <w:pStyle w:val="882"/>
        <w:numPr>
          <w:ilvl w:val="0"/>
          <w:numId w:val="1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u starijim grupama (60+ godina) raste, što je jasan pokazatelj starenja populacije. Na primer:</w:t>
      </w:r>
      <w:r/>
    </w:p>
    <w:p>
      <w:pPr>
        <w:pStyle w:val="882"/>
        <w:numPr>
          <w:ilvl w:val="0"/>
          <w:numId w:val="1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60–64 godina: 700 (1981) → 1.590 (2022).</w:t>
      </w:r>
      <w:r/>
    </w:p>
    <w:p>
      <w:pPr>
        <w:pStyle w:val="882"/>
        <w:numPr>
          <w:ilvl w:val="0"/>
          <w:numId w:val="1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70–74 godina: 800 (1981) → 972 (2022).</w:t>
      </w:r>
      <w:r/>
    </w:p>
    <w:p>
      <w:pPr>
        <w:pStyle w:val="70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Ključni trendovi:</w:t>
      </w:r>
      <w:r/>
    </w:p>
    <w:p>
      <w:pPr>
        <w:pStyle w:val="70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Starenje populacije:</w:t>
      </w:r>
      <w:r/>
    </w:p>
    <w:p>
      <w:pPr>
        <w:pStyle w:val="882"/>
        <w:numPr>
          <w:ilvl w:val="0"/>
          <w:numId w:val="1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starijih stanovnika raste, dok udeo dece i mladih opada. Ovo starenje populacije ima direktne implikacije na zdravstvenu zaštitu i socijalne sisteme.</w:t>
      </w:r>
      <w:r/>
    </w:p>
    <w:p>
      <w:pPr>
        <w:pStyle w:val="70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Smanjenje nataliteta:</w:t>
      </w:r>
      <w:r/>
    </w:p>
    <w:p>
      <w:pPr>
        <w:pStyle w:val="882"/>
        <w:numPr>
          <w:ilvl w:val="0"/>
          <w:numId w:val="2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Značajno smanjenje broja rođene dece je evidentno, što može biti posledica modernizacije, smanjenja prosečne veličine porodice i ekonomskih prilika.</w:t>
      </w:r>
      <w:r/>
    </w:p>
    <w:p>
      <w:pPr>
        <w:pStyle w:val="70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Migracije:</w:t>
      </w:r>
      <w:r/>
    </w:p>
    <w:p>
      <w:pPr>
        <w:pStyle w:val="882"/>
        <w:numPr>
          <w:ilvl w:val="0"/>
          <w:numId w:val="2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broja stanovnika između 2002. i 2011. godine može se delimično objasniti migracijama, jer je Tutin poznat po velikom broju iseljenika u Zapadnu Evropu.</w:t>
      </w:r>
      <w:r/>
    </w:p>
    <w:p>
      <w:pPr>
        <w:pStyle w:val="70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Predikcije za 2031. i 2041. godinu: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trenda, možemo predvideti sledeće:</w:t>
      </w:r>
      <w:r/>
    </w:p>
    <w:p>
      <w:pPr>
        <w:pStyle w:val="882"/>
        <w:numPr>
          <w:ilvl w:val="0"/>
          <w:numId w:val="22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stanovnika:</w:t>
      </w:r>
      <w:r/>
    </w:p>
    <w:p>
      <w:pPr>
        <w:pStyle w:val="882"/>
        <w:numPr>
          <w:ilvl w:val="0"/>
          <w:numId w:val="2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trenutni trendovi nastave (blagi pad ili stagnacija), ukupan broj stanovnika do 2031. godine mogao bi biti oko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30.000–31.000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a do 2041. godine oko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29.000–30.000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882"/>
        <w:numPr>
          <w:ilvl w:val="0"/>
          <w:numId w:val="24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Starosna struktura:</w:t>
      </w:r>
      <w:r/>
    </w:p>
    <w:p>
      <w:pPr>
        <w:pStyle w:val="882"/>
        <w:numPr>
          <w:ilvl w:val="0"/>
          <w:numId w:val="2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dece i mladih (0–19 godina)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nastaviće da opada, dok će se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udio starijih od 60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povećavati.</w:t>
      </w:r>
      <w:r/>
    </w:p>
    <w:p>
      <w:pPr>
        <w:pStyle w:val="882"/>
        <w:numPr>
          <w:ilvl w:val="0"/>
          <w:numId w:val="2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Radno sposobno stanovništvo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(20–59 godina) bi moglo ostati stabilno, ali će starije grupe unutar ove kategorije (40–59 godina) postajati dominantnije.</w:t>
      </w:r>
      <w:r/>
    </w:p>
    <w:p>
      <w:pPr>
        <w:pStyle w:val="70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Zaključak: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izazovi:</w:t>
      </w:r>
      <w:r/>
    </w:p>
    <w:p>
      <w:pPr>
        <w:pStyle w:val="882"/>
        <w:numPr>
          <w:ilvl w:val="0"/>
          <w:numId w:val="2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Tutin se suočava sa starenjem populacije i smanjenjem nataliteta, što je zajednički trend u mnogim ruralnim područjima Srbije.</w:t>
      </w:r>
      <w:r/>
    </w:p>
    <w:p>
      <w:pPr>
        <w:pStyle w:val="882"/>
        <w:numPr>
          <w:ilvl w:val="0"/>
          <w:numId w:val="2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Migracije dodatno utiču na pad broja mladih i radno sposobnih.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Preporuke:</w:t>
      </w:r>
      <w:r/>
    </w:p>
    <w:p>
      <w:pPr>
        <w:pStyle w:val="882"/>
        <w:numPr>
          <w:ilvl w:val="0"/>
          <w:numId w:val="3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Fokus na politike koje podstiču rađanje (subvencije za porodice, olakšice za mlade roditelje).</w:t>
      </w:r>
      <w:r/>
    </w:p>
    <w:p>
      <w:pPr>
        <w:pStyle w:val="882"/>
        <w:numPr>
          <w:ilvl w:val="0"/>
          <w:numId w:val="3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Kreiranje lokalnih radnih mesta i pružanje podrške povratnicima iz dijaspore kako bi se smanjio odliv stanovništva.</w:t>
      </w:r>
      <w:r/>
    </w:p>
    <w:p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049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sana">
    <w:panose1 w:val="02000603000000000000"/>
  </w:font>
  <w:font w:name="Arial Narrow">
    <w:panose1 w:val="020B060602020203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jc w:val="right"/>
    </w:pPr>
    <w:fldSimple w:instr="PAGE \* MERGEFORMAT">
      <w:r>
        <w:t xml:space="preserve">1</w:t>
      </w:r>
    </w:fldSimple>
    <w:r/>
    <w:r/>
  </w:p>
  <w:p>
    <w:pPr>
      <w:pStyle w:val="730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37641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3" cy="17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75852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8"/>
    <w:next w:val="878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8"/>
    <w:next w:val="878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4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8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No Spacing"/>
    <w:basedOn w:val="878"/>
    <w:uiPriority w:val="1"/>
    <w:qFormat/>
    <w:pPr>
      <w:spacing w:after="0" w:line="240" w:lineRule="auto"/>
    </w:pPr>
  </w:style>
  <w:style w:type="paragraph" w:styleId="882">
    <w:name w:val="List Paragraph"/>
    <w:basedOn w:val="878"/>
    <w:uiPriority w:val="34"/>
    <w:qFormat/>
    <w:pPr>
      <w:contextualSpacing/>
      <w:ind w:left="720"/>
    </w:pPr>
  </w:style>
  <w:style w:type="character" w:styleId="88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Broj stananovnika Tutina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Tutin!$C$22</c:f>
              <c:strCache>
                <c:ptCount val="1"/>
                <c:pt idx="0">
                  <c:v xml:space="preserve">Broj stanovnika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Tutin!$B$23:$B$31</c:f>
              <c:strCache>
                <c:ptCount val="9"/>
                <c:pt idx="0">
                  <c:v>g.1948</c:v>
                </c:pt>
                <c:pt idx="1">
                  <c:v>g.1953</c:v>
                </c:pt>
                <c:pt idx="2">
                  <c:v>g.1961</c:v>
                </c:pt>
                <c:pt idx="3">
                  <c:v>g.1971</c:v>
                </c:pt>
                <c:pt idx="4">
                  <c:v>g.1981</c:v>
                </c:pt>
                <c:pt idx="5">
                  <c:v>g.1991</c:v>
                </c:pt>
                <c:pt idx="6">
                  <c:v>g.2002</c:v>
                </c:pt>
                <c:pt idx="7">
                  <c:v>g.2011</c:v>
                </c:pt>
                <c:pt idx="8">
                  <c:v>g.2022</c:v>
                </c:pt>
              </c:strCache>
            </c:strRef>
          </c:cat>
          <c:val>
            <c:numRef>
              <c:f>Tutin!$C$23:$C$31</c:f>
              <c:numCache>
                <c:formatCode>General</c:formatCode>
                <c:ptCount val="9"/>
                <c:pt idx="0">
                  <c:v>24662</c:v>
                </c:pt>
                <c:pt idx="1">
                  <c:v>27963</c:v>
                </c:pt>
                <c:pt idx="2">
                  <c:v>29959</c:v>
                </c:pt>
                <c:pt idx="3">
                  <c:v>29444</c:v>
                </c:pt>
                <c:pt idx="4">
                  <c:v>32779</c:v>
                </c:pt>
                <c:pt idx="5">
                  <c:v>34631</c:v>
                </c:pt>
                <c:pt idx="6">
                  <c:v>36160</c:v>
                </c:pt>
                <c:pt idx="7">
                  <c:v>31155</c:v>
                </c:pt>
                <c:pt idx="8">
                  <c:v>33053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1975"/>
        <c:axId val="511721976"/>
      </c:lineChart>
      <c:catAx>
        <c:axId val="511721975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1976"/>
        <c:crosses val="autoZero"/>
        <c:auto val="1"/>
        <c:lblAlgn val="ctr"/>
        <c:lblOffset val="100"/>
        <c:noMultiLvlLbl val="0"/>
      </c:catAx>
      <c:valAx>
        <c:axId val="5117219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197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3953445" cy="2213370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Grafički prikaz promena u starosnoj strukturi stanovnika Tutina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Tutin!$B$4</c:f>
              <c:strCache>
                <c:ptCount val="1"/>
                <c:pt idx="0">
                  <c:v>g.1981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Tutin!$C$3:$T$3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Tutin!$C$4:$T$4</c:f>
              <c:numCache>
                <c:formatCode>General</c:formatCode>
                <c:ptCount val="18"/>
                <c:pt idx="0">
                  <c:v>4310</c:v>
                </c:pt>
                <c:pt idx="1">
                  <c:v>4361</c:v>
                </c:pt>
                <c:pt idx="2">
                  <c:v>4045</c:v>
                </c:pt>
                <c:pt idx="3">
                  <c:v>3672</c:v>
                </c:pt>
                <c:pt idx="4">
                  <c:v>3059</c:v>
                </c:pt>
                <c:pt idx="5">
                  <c:v>2450</c:v>
                </c:pt>
                <c:pt idx="6">
                  <c:v>1894</c:v>
                </c:pt>
                <c:pt idx="7">
                  <c:v>1387</c:v>
                </c:pt>
                <c:pt idx="8">
                  <c:v>1505</c:v>
                </c:pt>
                <c:pt idx="9">
                  <c:v>1435</c:v>
                </c:pt>
                <c:pt idx="10">
                  <c:v>1250</c:v>
                </c:pt>
                <c:pt idx="11">
                  <c:v>860</c:v>
                </c:pt>
                <c:pt idx="12">
                  <c:v>700</c:v>
                </c:pt>
                <c:pt idx="13">
                  <c:v>867</c:v>
                </c:pt>
                <c:pt idx="14">
                  <c:v>800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Tutin!$B$5</c:f>
              <c:strCache>
                <c:ptCount val="1"/>
                <c:pt idx="0">
                  <c:v>g.1991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 w="28575" cap="rnd">
              <a:solidFill>
                <a:schemeClr val="accent2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2"/>
              </a:solidFill>
              <a:ln/>
            </c:spPr>
          </c:marker>
          <c:cat>
            <c:strRef>
              <c:f>Tutin!$C$3:$T$3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Tutin!$C$5:$T$5</c:f>
              <c:numCache>
                <c:formatCode>General</c:formatCode>
                <c:ptCount val="18"/>
                <c:pt idx="0">
                  <c:v>3899</c:v>
                </c:pt>
                <c:pt idx="1">
                  <c:v>3822</c:v>
                </c:pt>
                <c:pt idx="2">
                  <c:v>3947</c:v>
                </c:pt>
                <c:pt idx="3">
                  <c:v>3947</c:v>
                </c:pt>
                <c:pt idx="4">
                  <c:v>3466</c:v>
                </c:pt>
                <c:pt idx="5">
                  <c:v>2747</c:v>
                </c:pt>
                <c:pt idx="6">
                  <c:v>2306</c:v>
                </c:pt>
                <c:pt idx="7">
                  <c:v>2061</c:v>
                </c:pt>
                <c:pt idx="8">
                  <c:v>1606</c:v>
                </c:pt>
                <c:pt idx="9">
                  <c:v>1244</c:v>
                </c:pt>
                <c:pt idx="10">
                  <c:v>1335</c:v>
                </c:pt>
                <c:pt idx="11">
                  <c:v>1282</c:v>
                </c:pt>
                <c:pt idx="12">
                  <c:v>1021</c:v>
                </c:pt>
                <c:pt idx="13">
                  <c:v>726</c:v>
                </c:pt>
                <c:pt idx="14">
                  <c:v>427</c:v>
                </c:pt>
                <c:pt idx="15">
                  <c:v>390</c:v>
                </c:pt>
                <c:pt idx="16">
                  <c:v>198</c:v>
                </c:pt>
                <c:pt idx="17">
                  <c:v>105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Tutin!$B$6</c:f>
              <c:strCache>
                <c:ptCount val="1"/>
                <c:pt idx="0">
                  <c:v>g.2002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 w="28575" cap="rnd">
              <a:solidFill>
                <a:schemeClr val="accent3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3"/>
              </a:solidFill>
              <a:ln/>
            </c:spPr>
          </c:marker>
          <c:cat>
            <c:strRef>
              <c:f>Tutin!$C$3:$T$3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Tutin!$C$6:$T$6</c:f>
              <c:numCache>
                <c:formatCode>General</c:formatCode>
                <c:ptCount val="18"/>
                <c:pt idx="0">
                  <c:v>2623</c:v>
                </c:pt>
                <c:pt idx="1">
                  <c:v>2605</c:v>
                </c:pt>
                <c:pt idx="2">
                  <c:v>3018</c:v>
                </c:pt>
                <c:pt idx="3">
                  <c:v>3207</c:v>
                </c:pt>
                <c:pt idx="4">
                  <c:v>2734</c:v>
                </c:pt>
                <c:pt idx="5">
                  <c:v>2492</c:v>
                </c:pt>
                <c:pt idx="6">
                  <c:v>2064</c:v>
                </c:pt>
                <c:pt idx="7">
                  <c:v>1818</c:v>
                </c:pt>
                <c:pt idx="8">
                  <c:v>1717</c:v>
                </c:pt>
                <c:pt idx="9">
                  <c:v>1666</c:v>
                </c:pt>
                <c:pt idx="10">
                  <c:v>1356</c:v>
                </c:pt>
                <c:pt idx="11">
                  <c:v>1130</c:v>
                </c:pt>
                <c:pt idx="12">
                  <c:v>1017</c:v>
                </c:pt>
                <c:pt idx="13">
                  <c:v>996</c:v>
                </c:pt>
                <c:pt idx="14">
                  <c:v>714</c:v>
                </c:pt>
                <c:pt idx="15">
                  <c:v>377</c:v>
                </c:pt>
                <c:pt idx="16">
                  <c:v>301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Tutin!$B$7</c:f>
              <c:strCache>
                <c:ptCount val="1"/>
                <c:pt idx="0">
                  <c:v>g.2011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4"/>
            </a:solidFill>
            <a:ln w="28575" cap="rnd">
              <a:solidFill>
                <a:schemeClr val="accent4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4"/>
              </a:solidFill>
              <a:ln/>
            </c:spPr>
          </c:marker>
          <c:cat>
            <c:strRef>
              <c:f>Tutin!$C$3:$T$3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Tutin!$C$7:$T$7</c:f>
              <c:numCache>
                <c:formatCode>General</c:formatCode>
                <c:ptCount val="18"/>
                <c:pt idx="0">
                  <c:v>2833</c:v>
                </c:pt>
                <c:pt idx="1">
                  <c:v>2944</c:v>
                </c:pt>
                <c:pt idx="2">
                  <c:v>2418</c:v>
                </c:pt>
                <c:pt idx="3">
                  <c:v>2449</c:v>
                </c:pt>
                <c:pt idx="4">
                  <c:v>2591</c:v>
                </c:pt>
                <c:pt idx="5">
                  <c:v>2577</c:v>
                </c:pt>
                <c:pt idx="6">
                  <c:v>2373</c:v>
                </c:pt>
                <c:pt idx="7">
                  <c:v>2264</c:v>
                </c:pt>
                <c:pt idx="8">
                  <c:v>1941</c:v>
                </c:pt>
                <c:pt idx="9">
                  <c:v>1779</c:v>
                </c:pt>
                <c:pt idx="10">
                  <c:v>1660</c:v>
                </c:pt>
                <c:pt idx="11">
                  <c:v>1598</c:v>
                </c:pt>
                <c:pt idx="12">
                  <c:v>1195</c:v>
                </c:pt>
                <c:pt idx="13">
                  <c:v>851</c:v>
                </c:pt>
                <c:pt idx="14">
                  <c:v>743</c:v>
                </c:pt>
                <c:pt idx="15">
                  <c:v>559</c:v>
                </c:pt>
                <c:pt idx="16">
                  <c:v>278</c:v>
                </c:pt>
                <c:pt idx="17">
                  <c:v>102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Tutin!$B$8</c:f>
              <c:strCache>
                <c:ptCount val="1"/>
                <c:pt idx="0">
                  <c:v>g.2022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 w="28575" cap="rnd">
              <a:solidFill>
                <a:schemeClr val="accent5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5"/>
              </a:solidFill>
              <a:ln/>
            </c:spPr>
          </c:marker>
          <c:cat>
            <c:strRef>
              <c:f>Tutin!$C$3:$T$3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Tutin!$C$8:$T$8</c:f>
              <c:numCache>
                <c:formatCode>General</c:formatCode>
                <c:ptCount val="18"/>
                <c:pt idx="0">
                  <c:v>2679</c:v>
                </c:pt>
                <c:pt idx="1">
                  <c:v>2445</c:v>
                </c:pt>
                <c:pt idx="2">
                  <c:v>2645</c:v>
                </c:pt>
                <c:pt idx="3">
                  <c:v>2787</c:v>
                </c:pt>
                <c:pt idx="4">
                  <c:v>2366</c:v>
                </c:pt>
                <c:pt idx="5">
                  <c:v>2125</c:v>
                </c:pt>
                <c:pt idx="6">
                  <c:v>2352</c:v>
                </c:pt>
                <c:pt idx="7">
                  <c:v>2311</c:v>
                </c:pt>
                <c:pt idx="8">
                  <c:v>2228</c:v>
                </c:pt>
                <c:pt idx="9">
                  <c:v>2227</c:v>
                </c:pt>
                <c:pt idx="10">
                  <c:v>2079</c:v>
                </c:pt>
                <c:pt idx="11">
                  <c:v>1774</c:v>
                </c:pt>
                <c:pt idx="12">
                  <c:v>1590</c:v>
                </c:pt>
                <c:pt idx="13">
                  <c:v>1393</c:v>
                </c:pt>
                <c:pt idx="14">
                  <c:v>972</c:v>
                </c:pt>
                <c:pt idx="15">
                  <c:v>584</c:v>
                </c:pt>
                <c:pt idx="16">
                  <c:v>337</c:v>
                </c:pt>
                <c:pt idx="17">
                  <c:v>159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019"/>
        <c:axId val="511722020"/>
      </c:lineChart>
      <c:catAx>
        <c:axId val="511722019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20"/>
        <c:crosses val="autoZero"/>
        <c:auto val="1"/>
        <c:lblAlgn val="ctr"/>
        <c:lblOffset val="100"/>
        <c:noMultiLvlLbl val="0"/>
      </c:catAx>
      <c:valAx>
        <c:axId val="51172202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1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4857748" cy="2995611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2024-12-30T21:57:35Z</dcterms:modified>
</cp:coreProperties>
</file>